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after="120" w:afterAutospacing="0" w:line="368" w:lineRule="atLeast"/>
        <w:jc w:val="center"/>
      </w:pPr>
      <w:r>
        <w:rPr>
          <w:rStyle w:val="4"/>
          <w:rFonts w:ascii="Helvetica" w:hAnsi="Helvetica" w:eastAsia="Helvetica" w:cs="Helvetica"/>
          <w:b/>
          <w:color w:val="333333"/>
          <w:sz w:val="54"/>
          <w:szCs w:val="54"/>
        </w:rPr>
        <w:t>福建省省级政府采购委托协议</w:t>
      </w:r>
      <w:r>
        <w:rPr>
          <w:rFonts w:hint="default" w:ascii="Helvetica" w:hAnsi="Helvetica" w:eastAsia="Helvetica" w:cs="Helvetica"/>
          <w:color w:val="333333"/>
          <w:sz w:val="21"/>
          <w:szCs w:val="21"/>
        </w:rPr>
        <w:t xml:space="preserve"> </w:t>
      </w:r>
    </w:p>
    <w:p>
      <w:pPr>
        <w:pStyle w:val="2"/>
        <w:keepNext w:val="0"/>
        <w:keepLines w:val="0"/>
        <w:widowControl/>
        <w:suppressLineNumbers w:val="0"/>
        <w:spacing w:after="120" w:afterAutospacing="0" w:line="360" w:lineRule="auto"/>
        <w:rPr>
          <w:rFonts w:hint="eastAsia" w:ascii="宋体" w:hAnsi="宋体" w:eastAsia="宋体" w:cs="宋体"/>
          <w:sz w:val="21"/>
          <w:szCs w:val="21"/>
        </w:rPr>
      </w:pPr>
      <w:r>
        <w:rPr>
          <w:rFonts w:hint="eastAsia" w:ascii="宋体" w:hAnsi="宋体" w:eastAsia="宋体" w:cs="宋体"/>
          <w:color w:val="333333"/>
          <w:sz w:val="21"/>
          <w:szCs w:val="21"/>
        </w:rPr>
        <w:t>甲方：</w:t>
      </w:r>
      <w:r>
        <w:rPr>
          <w:rFonts w:hint="eastAsia" w:ascii="宋体" w:hAnsi="宋体" w:eastAsia="宋体" w:cs="宋体"/>
          <w:color w:val="333333"/>
          <w:sz w:val="21"/>
          <w:szCs w:val="21"/>
          <w:lang w:eastAsia="zh-CN"/>
        </w:rPr>
        <w:t>厦门大学附属第一医院</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地址：福建省厦门市</w:t>
      </w:r>
      <w:r>
        <w:rPr>
          <w:rFonts w:hint="eastAsia" w:ascii="宋体" w:hAnsi="宋体" w:eastAsia="宋体" w:cs="宋体"/>
          <w:color w:val="333333"/>
          <w:sz w:val="21"/>
          <w:szCs w:val="21"/>
          <w:lang w:val="en-US" w:eastAsia="zh-CN"/>
        </w:rPr>
        <w:t>思明区镇海路上古街10号</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联系人：</w:t>
      </w:r>
      <w:r>
        <w:rPr>
          <w:rFonts w:hint="eastAsia" w:ascii="宋体" w:hAnsi="宋体" w:eastAsia="宋体" w:cs="宋体"/>
          <w:color w:val="333333"/>
          <w:sz w:val="21"/>
          <w:szCs w:val="21"/>
          <w:lang w:val="en-US" w:eastAsia="zh-CN"/>
        </w:rPr>
        <w:t>孙宁宇</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电话：2139525</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xml:space="preserve">电子邮箱： </w:t>
      </w:r>
    </w:p>
    <w:p>
      <w:pPr>
        <w:pStyle w:val="2"/>
        <w:keepNext w:val="0"/>
        <w:keepLines w:val="0"/>
        <w:widowControl/>
        <w:suppressLineNumbers w:val="0"/>
        <w:spacing w:line="360" w:lineRule="auto"/>
        <w:rPr>
          <w:rFonts w:hint="eastAsia" w:ascii="宋体" w:hAnsi="宋体" w:eastAsia="宋体" w:cs="宋体"/>
          <w:sz w:val="21"/>
          <w:szCs w:val="21"/>
        </w:rPr>
      </w:pPr>
      <w:r>
        <w:rPr>
          <w:rFonts w:hint="eastAsia" w:ascii="宋体" w:hAnsi="宋体" w:eastAsia="宋体" w:cs="宋体"/>
          <w:color w:val="333333"/>
          <w:kern w:val="0"/>
          <w:sz w:val="21"/>
          <w:szCs w:val="21"/>
          <w:lang w:val="en-US" w:eastAsia="zh-CN" w:bidi="ar"/>
        </w:rPr>
        <w:t xml:space="preserve">乙方：福建经发招标代理有限公司     </w:t>
      </w:r>
      <w:r>
        <w:rPr>
          <w:rFonts w:hint="eastAsia" w:ascii="宋体" w:hAnsi="宋体" w:eastAsia="宋体" w:cs="宋体"/>
          <w:color w:val="333333"/>
          <w:kern w:val="0"/>
          <w:sz w:val="21"/>
          <w:szCs w:val="21"/>
          <w:lang w:val="en-US" w:eastAsia="zh-CN" w:bidi="ar"/>
        </w:rPr>
        <w:br w:type="textWrapping"/>
      </w:r>
      <w:r>
        <w:rPr>
          <w:rFonts w:hint="eastAsia" w:ascii="宋体" w:hAnsi="宋体" w:eastAsia="宋体" w:cs="宋体"/>
          <w:color w:val="333333"/>
          <w:kern w:val="0"/>
          <w:sz w:val="21"/>
          <w:szCs w:val="21"/>
          <w:lang w:val="en-US" w:eastAsia="zh-CN" w:bidi="ar"/>
        </w:rPr>
        <w:t xml:space="preserve">地址：福建省厦门市思明区宜兰路9号康利金融大厦505单元之二     </w:t>
      </w:r>
      <w:r>
        <w:rPr>
          <w:rFonts w:hint="eastAsia" w:ascii="宋体" w:hAnsi="宋体" w:eastAsia="宋体" w:cs="宋体"/>
          <w:color w:val="333333"/>
          <w:kern w:val="0"/>
          <w:sz w:val="21"/>
          <w:szCs w:val="21"/>
          <w:lang w:val="en-US" w:eastAsia="zh-CN" w:bidi="ar"/>
        </w:rPr>
        <w:br w:type="textWrapping"/>
      </w:r>
      <w:r>
        <w:rPr>
          <w:rFonts w:hint="eastAsia" w:ascii="宋体" w:hAnsi="宋体" w:eastAsia="宋体" w:cs="宋体"/>
          <w:color w:val="333333"/>
          <w:kern w:val="0"/>
          <w:sz w:val="21"/>
          <w:szCs w:val="21"/>
          <w:lang w:val="en-US" w:eastAsia="zh-CN" w:bidi="ar"/>
        </w:rPr>
        <w:t xml:space="preserve">联系人：郭艳玲     </w:t>
      </w:r>
      <w:r>
        <w:rPr>
          <w:rFonts w:hint="eastAsia" w:ascii="宋体" w:hAnsi="宋体" w:eastAsia="宋体" w:cs="宋体"/>
          <w:color w:val="333333"/>
          <w:kern w:val="0"/>
          <w:sz w:val="21"/>
          <w:szCs w:val="21"/>
          <w:lang w:val="en-US" w:eastAsia="zh-CN" w:bidi="ar"/>
        </w:rPr>
        <w:br w:type="textWrapping"/>
      </w:r>
      <w:r>
        <w:rPr>
          <w:rFonts w:hint="eastAsia" w:ascii="宋体" w:hAnsi="宋体" w:eastAsia="宋体" w:cs="宋体"/>
          <w:color w:val="333333"/>
          <w:kern w:val="0"/>
          <w:sz w:val="21"/>
          <w:szCs w:val="21"/>
          <w:lang w:val="en-US" w:eastAsia="zh-CN" w:bidi="ar"/>
        </w:rPr>
        <w:t xml:space="preserve">电话：13606058378     </w:t>
      </w:r>
      <w:r>
        <w:rPr>
          <w:rFonts w:hint="eastAsia" w:ascii="宋体" w:hAnsi="宋体" w:eastAsia="宋体" w:cs="宋体"/>
          <w:color w:val="333333"/>
          <w:kern w:val="0"/>
          <w:sz w:val="21"/>
          <w:szCs w:val="21"/>
          <w:lang w:val="en-US" w:eastAsia="zh-CN" w:bidi="ar"/>
        </w:rPr>
        <w:br w:type="textWrapping"/>
      </w:r>
      <w:r>
        <w:rPr>
          <w:rFonts w:hint="eastAsia" w:ascii="宋体" w:hAnsi="宋体" w:eastAsia="宋体" w:cs="宋体"/>
          <w:color w:val="333333"/>
          <w:kern w:val="0"/>
          <w:sz w:val="21"/>
          <w:szCs w:val="21"/>
          <w:lang w:val="en-US" w:eastAsia="zh-CN" w:bidi="ar"/>
        </w:rPr>
        <w:t>电子邮箱：451303526@qq.com</w:t>
      </w:r>
    </w:p>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333333"/>
          <w:sz w:val="21"/>
          <w:szCs w:val="21"/>
        </w:rPr>
        <w:t xml:space="preserve">根据《中华人民共和国政府采购法》《中华人民共和国政府采购法实施条例》《中华人民共和国合同法》等法律法规及福建省政府采购相关政策规定，经甲乙双方协商一致，就甲方委托乙方代理甲方相关项目的政府采购事宜达到下列协议。 </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xml:space="preserve">一、委托事项 </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甲方委托乙方代理的项目为</w:t>
      </w:r>
      <w:r>
        <w:rPr>
          <w:rFonts w:hint="eastAsia" w:ascii="宋体" w:hAnsi="宋体" w:eastAsia="宋体" w:cs="宋体"/>
          <w:b/>
          <w:bCs/>
          <w:color w:val="333333"/>
          <w:sz w:val="21"/>
          <w:szCs w:val="21"/>
          <w:u w:val="single"/>
        </w:rPr>
        <w:t>数字化X射线成像系统</w:t>
      </w:r>
      <w:r>
        <w:rPr>
          <w:rFonts w:hint="eastAsia" w:ascii="宋体" w:hAnsi="宋体" w:eastAsia="宋体" w:cs="宋体"/>
          <w:color w:val="333333"/>
          <w:sz w:val="21"/>
          <w:szCs w:val="21"/>
        </w:rPr>
        <w:t>,预算金额</w:t>
      </w:r>
      <w:r>
        <w:rPr>
          <w:rFonts w:hint="eastAsia" w:ascii="宋体" w:hAnsi="宋体" w:eastAsia="宋体" w:cs="宋体"/>
          <w:b/>
          <w:bCs/>
          <w:color w:val="333333"/>
          <w:sz w:val="21"/>
          <w:szCs w:val="21"/>
          <w:lang w:val="en-US" w:eastAsia="zh-CN"/>
        </w:rPr>
        <w:t>3870000</w:t>
      </w:r>
      <w:r>
        <w:rPr>
          <w:rFonts w:hint="eastAsia" w:ascii="宋体" w:hAnsi="宋体" w:eastAsia="宋体" w:cs="宋体"/>
          <w:color w:val="333333"/>
          <w:sz w:val="21"/>
          <w:szCs w:val="21"/>
        </w:rPr>
        <w:t xml:space="preserve">元。    </w:t>
      </w:r>
    </w:p>
    <w:p>
      <w:pPr>
        <w:pStyle w:val="2"/>
        <w:keepNext w:val="0"/>
        <w:keepLines w:val="0"/>
        <w:pageBreakBefore w:val="0"/>
        <w:widowControl/>
        <w:suppressLineNumbers w:val="0"/>
        <w:kinsoku/>
        <w:wordWrap/>
        <w:overflowPunct/>
        <w:topLinePunct w:val="0"/>
        <w:autoSpaceDE/>
        <w:autoSpaceDN/>
        <w:bidi w:val="0"/>
        <w:adjustRightInd w:val="0"/>
        <w:snapToGrid w:val="0"/>
        <w:spacing w:after="120" w:afterAutospacing="0" w:line="360" w:lineRule="auto"/>
        <w:jc w:val="both"/>
        <w:textAlignment w:val="auto"/>
        <w:rPr>
          <w:rFonts w:hint="eastAsia" w:ascii="宋体" w:hAnsi="宋体" w:eastAsia="宋体" w:cs="宋体"/>
          <w:sz w:val="21"/>
          <w:szCs w:val="21"/>
        </w:rPr>
      </w:pPr>
      <w:r>
        <w:rPr>
          <w:rFonts w:hint="eastAsia" w:ascii="宋体" w:hAnsi="宋体" w:eastAsia="宋体" w:cs="宋体"/>
          <w:color w:val="333333"/>
          <w:sz w:val="21"/>
          <w:szCs w:val="21"/>
        </w:rPr>
        <w:t xml:space="preserve">二、委托权限及范围 </w:t>
      </w:r>
      <w:bookmarkStart w:id="0" w:name="_GoBack"/>
      <w:bookmarkEnd w:id="0"/>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甲方委托乙方代理下列事项:</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1、按照《中华人民共和国政府采购法》等法律法规，为甲方的采购项目组织实施政府采购。</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2、负责供应商投标、竞争性谈判、询价保证金的收取、保管及退还。</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lang w:val="en-US" w:eastAsia="zh-CN"/>
        </w:rPr>
        <w:t>3</w:t>
      </w:r>
      <w:r>
        <w:rPr>
          <w:rFonts w:hint="eastAsia" w:ascii="宋体" w:hAnsi="宋体" w:eastAsia="宋体" w:cs="宋体"/>
          <w:color w:val="333333"/>
          <w:sz w:val="21"/>
          <w:szCs w:val="21"/>
        </w:rPr>
        <w:t xml:space="preserve">、代理甲方处理所委托采购项目的询问、质疑等事务。 </w:t>
      </w:r>
    </w:p>
    <w:p>
      <w:pPr>
        <w:pStyle w:val="2"/>
        <w:keepNext w:val="0"/>
        <w:keepLines w:val="0"/>
        <w:pageBreakBefore w:val="0"/>
        <w:widowControl/>
        <w:suppressLineNumbers w:val="0"/>
        <w:kinsoku/>
        <w:wordWrap/>
        <w:overflowPunct/>
        <w:topLinePunct w:val="0"/>
        <w:autoSpaceDE/>
        <w:autoSpaceDN/>
        <w:bidi w:val="0"/>
        <w:adjustRightInd w:val="0"/>
        <w:snapToGrid w:val="0"/>
        <w:spacing w:after="120" w:afterAutospacing="0" w:line="360" w:lineRule="auto"/>
        <w:jc w:val="both"/>
        <w:textAlignment w:val="auto"/>
        <w:rPr>
          <w:rFonts w:hint="eastAsia" w:ascii="宋体" w:hAnsi="宋体" w:eastAsia="宋体" w:cs="宋体"/>
          <w:sz w:val="21"/>
          <w:szCs w:val="21"/>
        </w:rPr>
      </w:pPr>
      <w:r>
        <w:rPr>
          <w:rFonts w:hint="eastAsia" w:ascii="宋体" w:hAnsi="宋体" w:eastAsia="宋体" w:cs="宋体"/>
          <w:color w:val="333333"/>
          <w:sz w:val="21"/>
          <w:szCs w:val="21"/>
        </w:rPr>
        <w:t>三、甲方委托乙方的具体事项</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甲方委托乙方编制、发售招标文件，在指定媒体上发布招标（采购）公告或投标邀请函；组织整个招标过程，在指定媒体上发布中标公告，以及法定其他事项。</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四、甲方的责任</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1、甲方应遵守国家的法律、法规，特别是政府采购有关法律法规的规定，严格执行支持节能、环保等有关政府采购政策，保证采购工作顺利进行。</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2、甲方应依法确定采购方式、采购需求、采购文件和中标（成交）供应商，并负责所委托项目的采购方式等有关送审报批手续。</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3、指定</w:t>
      </w:r>
      <w:r>
        <w:rPr>
          <w:rFonts w:hint="eastAsia" w:ascii="宋体" w:hAnsi="宋体" w:eastAsia="宋体" w:cs="宋体"/>
          <w:color w:val="333333"/>
          <w:sz w:val="21"/>
          <w:szCs w:val="21"/>
          <w:lang w:eastAsia="zh-CN"/>
        </w:rPr>
        <w:t>吴明哲</w:t>
      </w:r>
      <w:r>
        <w:rPr>
          <w:rFonts w:hint="eastAsia" w:ascii="宋体" w:hAnsi="宋体" w:eastAsia="宋体" w:cs="宋体"/>
          <w:color w:val="333333"/>
          <w:sz w:val="21"/>
          <w:szCs w:val="21"/>
        </w:rPr>
        <w:t>同志作为甲方的项目负责人，代表甲方联系和处理本次委托项目采购过程中的有关具体事项。</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4、向乙方提供本项目所需符合法律法规规定的有关技术、服务、商务、要求等书面材料，协助乙方编制采购文件，并澄清采购项目的需求。</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5、甲方在依法委托过程中，不得要求乙方在采购文件中以不合理的条件限制或排斥潜在的供应商，不得对供应商实行差别待遇或歧视待遇，不得以任何手段排斥其他供应商参与竞争，不得以任何方式向乙方和评审专家指定或暗示中标或成交供应商。</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6、甲方可以委派有关人员进入评审现场对评审工作实施监督，但不得超过2人；按法律法规规定指派有关人员代表甲方参与采购活动，书面授权与本项目供应商无直接利害关系的专业人员代表甲方出任评审委员会成员，但不得非法干预、影响评审过程和结果。</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7、应当自收到评审报告之日起5个工作日内在评审报告推荐的中标或者成交候选人中按顺序确定中标或者成交供应商。无法定情形逾期确认的，法律后果由甲方自行承担。</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8、甲方应对政府采购项目中涉及的商业秘密负有保密义务，不得将可能影响采购项目公正性的信息透露给利害关系人。</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9、甲方应依法与中标或成交供应商签订政府采购合同，及时组织项目验收和款项支付事宜，并负责合同等向本级政府采购监管部门备案。</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10、负责针对供应商对采购文件、采购过程和采购结果等提出的质疑，在法定时限内向乙方提供书面说明或以书面形式答复质疑供应商、通知其他相关供应商。</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11、根据需要协助乙方组织供应商踏勘采购项目的现场。</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12、妥善保管甲方内部采购材料，与乙方协商自行或委托乙方保管采购文件等档案材料，配合作好签收、调阅记录。</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以上事项甲方若授权甲方某内设机构负责实施，签订本协议时，须同时提供法人授权函，并说明本项目以后相关往来书面材料所需公章可用授权函里所授权的公章加盖，否则加盖公章必须与本协议一致。</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五、乙方的权利和义务</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1、 按政府采购的相关法律法规规定组织甲方所委托项目的采购工作，向甲方提供优良的服务，保证采购项目顺利实施。</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2、根据甲方提供的所委托采购项目符合法律法规规定的具体技术、服务、商务等要求编制采购文件并提交甲方确认，负责印刷、发售、发布、解释采购文件。</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3、乙方应规范使用福建省政府采购网上公开信息系统办理政府采购业务，及时发布采购信息，向潜在的供应商发出邀请。在代理采购项目过程中应按规定或约定的时间，以书面形式向甲方通报采购项目进度情况及相关信息。</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4、接受甲方委托按法律法规规定收取、保管、退还、缴交采购文件费用、竞争性谈判、询价保证金等费用</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5、负责组织开标、评标（谈判，询价），做好采购过程的记录。按采购文件规定依法组织采购项目的评标委员会接受供应商报价，组织审查报价方资格，按公平、公正的原则确定中标（成交）人。</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6、及时提请甲方对采购文件和采购结果的确认。</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7、按国家和省级有关规定，将采购文件送采购人存档，报政府采购监管部门备案。</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8、根据甲方的确认采购结果情况，向中标（成交）人和采购单位发出《中标（成交）通知书》和《采购结果通知书》。</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9、根据采购人委托在规定的时间内及时组织采购人与中标或者成交供应商签订政府采购合同，及时协助采购人对采购项目进行验收。</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10、有权拒绝甲方不符合法律法规规定的要求，如无法协商解决，乙方可以中止此协议。</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11、乙方收到供应商询问、质疑时，应及时书面告知甲方，并按照协议约定依法书面答复质疑人或协助甲方处理质疑。</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12、乙方应在本协议约定的期限内完成委托事项。如因任何原因导致乙方不能按时完成委托事项，乙方应在原因发生之日起七日内通知甲方，并采取必要的补救措施。在采购过程中，如因不可抗力、废标和中标或成交供应商放弃中标或成交结果等非乙方责任导致采购活动失败，乙方不承担责任。</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13、乙方对政府采购项目每项采购活动的采购文件应当妥善保存，不得伪造、变造、隐匿或者销毁。采购文件的保存期限为从采购结束之日起至少保存十五年。乙方如有发生代理机构注销时，应当向甲方移交档案。</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14、乙方应对政府采购项目中涉及的商业秘密负有保密义务，不得将可能影响采购项目公正性的信息透露给利害关系人。</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六、委托协议的变更和终止</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甲乙双方在协商一致的情况下，可以在法律许可范围内对委托协议内容做出变更；如因政策原因，致使采购项目发生更改或撤消，本协议应作相应变更或终止。甲方若有违反法律法规规定的需求，经乙方书面告知仍不同意纠正的，乙方可书面提出终止本协议，经双方协商一致后解除协议。乙方在接受甲方委托期间，应保证具备代理政府采购业务的条件，受到财政部门禁止代理政府采购业务处罚的，对于尚未开始执行的项目，本协议终止；对于已经开始执行的项目，本协议终止。</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七、违约责任</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甲乙双方应遵守法律法规和本协议规定，否则，将承担相应的法律责任。因违约造成经济损失的，由违约方承担。 </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xml:space="preserve">八、代理服务费用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333333"/>
          <w:kern w:val="0"/>
          <w:sz w:val="21"/>
          <w:szCs w:val="21"/>
          <w:lang w:val="en-US" w:eastAsia="zh-CN" w:bidi="ar"/>
        </w:rPr>
        <w:t xml:space="preserve">1、代理费用由中标供应商支付，按照中标（成交）金额，以差额定率累进法收取代理费用，参考如下标准。 </w:t>
      </w:r>
    </w:p>
    <w:tbl>
      <w:tblPr>
        <w:tblStyle w:val="12"/>
        <w:tblW w:w="8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
      <w:tblGrid>
        <w:gridCol w:w="2005"/>
        <w:gridCol w:w="1643"/>
        <w:gridCol w:w="1722"/>
        <w:gridCol w:w="2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330" w:hRule="atLeast"/>
        </w:trPr>
        <w:tc>
          <w:tcPr>
            <w:tcW w:w="2005"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Style w:val="4"/>
                <w:rFonts w:hint="eastAsia" w:ascii="宋体" w:hAnsi="宋体" w:eastAsia="宋体" w:cs="宋体"/>
                <w:b/>
                <w:color w:val="000000"/>
                <w:sz w:val="21"/>
                <w:szCs w:val="21"/>
              </w:rPr>
              <w:t>中标（成交）金额</w:t>
            </w:r>
            <w:r>
              <w:rPr>
                <w:rStyle w:val="4"/>
                <w:rFonts w:hint="eastAsia" w:ascii="宋体" w:hAnsi="宋体" w:eastAsia="宋体" w:cs="宋体"/>
                <w:b/>
                <w:color w:val="333333"/>
                <w:sz w:val="21"/>
                <w:szCs w:val="21"/>
              </w:rPr>
              <w:t xml:space="preserve"> </w:t>
            </w:r>
            <w:r>
              <w:rPr>
                <w:rStyle w:val="4"/>
                <w:rFonts w:hint="eastAsia" w:ascii="宋体" w:hAnsi="宋体" w:eastAsia="宋体" w:cs="宋体"/>
                <w:b/>
                <w:color w:val="000000"/>
                <w:sz w:val="21"/>
                <w:szCs w:val="21"/>
              </w:rPr>
              <w:t>（人民币  万元）</w:t>
            </w:r>
            <w:r>
              <w:rPr>
                <w:rFonts w:hint="eastAsia" w:ascii="宋体" w:hAnsi="宋体" w:eastAsia="宋体" w:cs="宋体"/>
                <w:color w:val="333333"/>
                <w:sz w:val="21"/>
                <w:szCs w:val="21"/>
              </w:rPr>
              <w:t xml:space="preserve"> </w:t>
            </w:r>
          </w:p>
        </w:tc>
        <w:tc>
          <w:tcPr>
            <w:tcW w:w="1643"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Style w:val="4"/>
                <w:rFonts w:hint="eastAsia" w:ascii="宋体" w:hAnsi="宋体" w:eastAsia="宋体" w:cs="宋体"/>
                <w:b/>
                <w:color w:val="000000"/>
                <w:sz w:val="21"/>
                <w:szCs w:val="21"/>
              </w:rPr>
              <w:t>货物采购费率</w:t>
            </w:r>
            <w:r>
              <w:rPr>
                <w:rFonts w:hint="eastAsia" w:ascii="宋体" w:hAnsi="宋体" w:eastAsia="宋体" w:cs="宋体"/>
                <w:color w:val="333333"/>
                <w:sz w:val="21"/>
                <w:szCs w:val="21"/>
              </w:rPr>
              <w:t xml:space="preserve"> </w:t>
            </w:r>
          </w:p>
        </w:tc>
        <w:tc>
          <w:tcPr>
            <w:tcW w:w="1722"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Style w:val="4"/>
                <w:rFonts w:hint="eastAsia" w:ascii="宋体" w:hAnsi="宋体" w:eastAsia="宋体" w:cs="宋体"/>
                <w:b/>
                <w:color w:val="000000"/>
                <w:sz w:val="21"/>
                <w:szCs w:val="21"/>
              </w:rPr>
              <w:t>服务采购费率</w:t>
            </w:r>
            <w:r>
              <w:rPr>
                <w:rFonts w:hint="eastAsia" w:ascii="宋体" w:hAnsi="宋体" w:eastAsia="宋体" w:cs="宋体"/>
                <w:color w:val="333333"/>
                <w:sz w:val="21"/>
                <w:szCs w:val="21"/>
              </w:rPr>
              <w:t xml:space="preserve"> </w:t>
            </w:r>
          </w:p>
        </w:tc>
        <w:tc>
          <w:tcPr>
            <w:tcW w:w="2730"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Style w:val="4"/>
                <w:rFonts w:hint="eastAsia" w:ascii="宋体" w:hAnsi="宋体" w:eastAsia="宋体" w:cs="宋体"/>
                <w:b/>
                <w:color w:val="000000"/>
                <w:sz w:val="21"/>
                <w:szCs w:val="21"/>
              </w:rPr>
              <w:t>工程采购费率</w:t>
            </w:r>
            <w:r>
              <w:rPr>
                <w:rFonts w:hint="eastAsia" w:ascii="宋体" w:hAnsi="宋体" w:eastAsia="宋体" w:cs="宋体"/>
                <w:color w:val="333333"/>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trPr>
        <w:tc>
          <w:tcPr>
            <w:tcW w:w="2005"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100以下</w:t>
            </w:r>
            <w:r>
              <w:rPr>
                <w:rFonts w:hint="eastAsia" w:ascii="宋体" w:hAnsi="宋体" w:eastAsia="宋体" w:cs="宋体"/>
                <w:color w:val="333333"/>
                <w:sz w:val="21"/>
                <w:szCs w:val="21"/>
              </w:rPr>
              <w:t xml:space="preserve"> </w:t>
            </w:r>
          </w:p>
        </w:tc>
        <w:tc>
          <w:tcPr>
            <w:tcW w:w="1643"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1.5%</w:t>
            </w:r>
            <w:r>
              <w:rPr>
                <w:rFonts w:hint="eastAsia" w:ascii="宋体" w:hAnsi="宋体" w:eastAsia="宋体" w:cs="宋体"/>
                <w:color w:val="333333"/>
                <w:sz w:val="21"/>
                <w:szCs w:val="21"/>
              </w:rPr>
              <w:t xml:space="preserve"> </w:t>
            </w:r>
          </w:p>
        </w:tc>
        <w:tc>
          <w:tcPr>
            <w:tcW w:w="1722"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1.5%</w:t>
            </w:r>
            <w:r>
              <w:rPr>
                <w:rFonts w:hint="eastAsia" w:ascii="宋体" w:hAnsi="宋体" w:eastAsia="宋体" w:cs="宋体"/>
                <w:color w:val="333333"/>
                <w:sz w:val="21"/>
                <w:szCs w:val="21"/>
              </w:rPr>
              <w:t xml:space="preserve"> </w:t>
            </w:r>
          </w:p>
        </w:tc>
        <w:tc>
          <w:tcPr>
            <w:tcW w:w="2730"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1.0%</w:t>
            </w:r>
            <w:r>
              <w:rPr>
                <w:rFonts w:hint="eastAsia" w:ascii="宋体" w:hAnsi="宋体" w:eastAsia="宋体" w:cs="宋体"/>
                <w:color w:val="333333"/>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330" w:hRule="atLeast"/>
        </w:trPr>
        <w:tc>
          <w:tcPr>
            <w:tcW w:w="2005"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100-500</w:t>
            </w:r>
            <w:r>
              <w:rPr>
                <w:rFonts w:hint="eastAsia" w:ascii="宋体" w:hAnsi="宋体" w:eastAsia="宋体" w:cs="宋体"/>
                <w:color w:val="333333"/>
                <w:sz w:val="21"/>
                <w:szCs w:val="21"/>
              </w:rPr>
              <w:t xml:space="preserve"> </w:t>
            </w:r>
          </w:p>
        </w:tc>
        <w:tc>
          <w:tcPr>
            <w:tcW w:w="1643"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1.1%</w:t>
            </w:r>
            <w:r>
              <w:rPr>
                <w:rFonts w:hint="eastAsia" w:ascii="宋体" w:hAnsi="宋体" w:eastAsia="宋体" w:cs="宋体"/>
                <w:color w:val="333333"/>
                <w:sz w:val="21"/>
                <w:szCs w:val="21"/>
              </w:rPr>
              <w:t xml:space="preserve"> </w:t>
            </w:r>
          </w:p>
        </w:tc>
        <w:tc>
          <w:tcPr>
            <w:tcW w:w="1722"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0.8%</w:t>
            </w:r>
            <w:r>
              <w:rPr>
                <w:rFonts w:hint="eastAsia" w:ascii="宋体" w:hAnsi="宋体" w:eastAsia="宋体" w:cs="宋体"/>
                <w:color w:val="333333"/>
                <w:sz w:val="21"/>
                <w:szCs w:val="21"/>
              </w:rPr>
              <w:t xml:space="preserve"> </w:t>
            </w:r>
          </w:p>
        </w:tc>
        <w:tc>
          <w:tcPr>
            <w:tcW w:w="2730"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0.7%</w:t>
            </w:r>
            <w:r>
              <w:rPr>
                <w:rFonts w:hint="eastAsia" w:ascii="宋体" w:hAnsi="宋体" w:eastAsia="宋体" w:cs="宋体"/>
                <w:color w:val="333333"/>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330" w:hRule="atLeast"/>
        </w:trPr>
        <w:tc>
          <w:tcPr>
            <w:tcW w:w="2005"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500-1000</w:t>
            </w:r>
            <w:r>
              <w:rPr>
                <w:rFonts w:hint="eastAsia" w:ascii="宋体" w:hAnsi="宋体" w:eastAsia="宋体" w:cs="宋体"/>
                <w:color w:val="333333"/>
                <w:sz w:val="21"/>
                <w:szCs w:val="21"/>
              </w:rPr>
              <w:t xml:space="preserve"> </w:t>
            </w:r>
          </w:p>
        </w:tc>
        <w:tc>
          <w:tcPr>
            <w:tcW w:w="1643"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0.8%</w:t>
            </w:r>
            <w:r>
              <w:rPr>
                <w:rFonts w:hint="eastAsia" w:ascii="宋体" w:hAnsi="宋体" w:eastAsia="宋体" w:cs="宋体"/>
                <w:color w:val="333333"/>
                <w:sz w:val="21"/>
                <w:szCs w:val="21"/>
              </w:rPr>
              <w:t xml:space="preserve"> </w:t>
            </w:r>
          </w:p>
        </w:tc>
        <w:tc>
          <w:tcPr>
            <w:tcW w:w="1722"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0.45%</w:t>
            </w:r>
            <w:r>
              <w:rPr>
                <w:rFonts w:hint="eastAsia" w:ascii="宋体" w:hAnsi="宋体" w:eastAsia="宋体" w:cs="宋体"/>
                <w:color w:val="333333"/>
                <w:sz w:val="21"/>
                <w:szCs w:val="21"/>
              </w:rPr>
              <w:t xml:space="preserve"> </w:t>
            </w:r>
          </w:p>
        </w:tc>
        <w:tc>
          <w:tcPr>
            <w:tcW w:w="2730"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0.55%</w:t>
            </w:r>
            <w:r>
              <w:rPr>
                <w:rFonts w:hint="eastAsia" w:ascii="宋体" w:hAnsi="宋体" w:eastAsia="宋体" w:cs="宋体"/>
                <w:color w:val="333333"/>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trPr>
        <w:tc>
          <w:tcPr>
            <w:tcW w:w="2005"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1000-5000</w:t>
            </w:r>
            <w:r>
              <w:rPr>
                <w:rFonts w:hint="eastAsia" w:ascii="宋体" w:hAnsi="宋体" w:eastAsia="宋体" w:cs="宋体"/>
                <w:color w:val="333333"/>
                <w:sz w:val="21"/>
                <w:szCs w:val="21"/>
              </w:rPr>
              <w:t xml:space="preserve"> </w:t>
            </w:r>
          </w:p>
        </w:tc>
        <w:tc>
          <w:tcPr>
            <w:tcW w:w="1643"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0.5%</w:t>
            </w:r>
            <w:r>
              <w:rPr>
                <w:rFonts w:hint="eastAsia" w:ascii="宋体" w:hAnsi="宋体" w:eastAsia="宋体" w:cs="宋体"/>
                <w:color w:val="333333"/>
                <w:sz w:val="21"/>
                <w:szCs w:val="21"/>
              </w:rPr>
              <w:t xml:space="preserve"> </w:t>
            </w:r>
          </w:p>
        </w:tc>
        <w:tc>
          <w:tcPr>
            <w:tcW w:w="1722"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0.25%</w:t>
            </w:r>
            <w:r>
              <w:rPr>
                <w:rFonts w:hint="eastAsia" w:ascii="宋体" w:hAnsi="宋体" w:eastAsia="宋体" w:cs="宋体"/>
                <w:color w:val="333333"/>
                <w:sz w:val="21"/>
                <w:szCs w:val="21"/>
              </w:rPr>
              <w:t xml:space="preserve"> </w:t>
            </w:r>
          </w:p>
        </w:tc>
        <w:tc>
          <w:tcPr>
            <w:tcW w:w="2730"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0.35%</w:t>
            </w:r>
            <w:r>
              <w:rPr>
                <w:rFonts w:hint="eastAsia" w:ascii="宋体" w:hAnsi="宋体" w:eastAsia="宋体" w:cs="宋体"/>
                <w:color w:val="333333"/>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330" w:hRule="atLeast"/>
        </w:trPr>
        <w:tc>
          <w:tcPr>
            <w:tcW w:w="2005"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5000-10000</w:t>
            </w:r>
            <w:r>
              <w:rPr>
                <w:rFonts w:hint="eastAsia" w:ascii="宋体" w:hAnsi="宋体" w:eastAsia="宋体" w:cs="宋体"/>
                <w:color w:val="333333"/>
                <w:sz w:val="21"/>
                <w:szCs w:val="21"/>
              </w:rPr>
              <w:t xml:space="preserve"> </w:t>
            </w:r>
          </w:p>
        </w:tc>
        <w:tc>
          <w:tcPr>
            <w:tcW w:w="1643"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0.25%</w:t>
            </w:r>
            <w:r>
              <w:rPr>
                <w:rFonts w:hint="eastAsia" w:ascii="宋体" w:hAnsi="宋体" w:eastAsia="宋体" w:cs="宋体"/>
                <w:color w:val="333333"/>
                <w:sz w:val="21"/>
                <w:szCs w:val="21"/>
              </w:rPr>
              <w:t xml:space="preserve"> </w:t>
            </w:r>
          </w:p>
        </w:tc>
        <w:tc>
          <w:tcPr>
            <w:tcW w:w="1722"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0.1%</w:t>
            </w:r>
            <w:r>
              <w:rPr>
                <w:rFonts w:hint="eastAsia" w:ascii="宋体" w:hAnsi="宋体" w:eastAsia="宋体" w:cs="宋体"/>
                <w:color w:val="333333"/>
                <w:sz w:val="21"/>
                <w:szCs w:val="21"/>
              </w:rPr>
              <w:t xml:space="preserve"> </w:t>
            </w:r>
          </w:p>
        </w:tc>
        <w:tc>
          <w:tcPr>
            <w:tcW w:w="2730" w:type="dxa"/>
            <w:shd w:val="clear" w:color="auto" w:fill="FFFFFF"/>
            <w:tcMar>
              <w:top w:w="30" w:type="dxa"/>
              <w:left w:w="150" w:type="dxa"/>
              <w:bottom w:w="30" w:type="dxa"/>
              <w:right w:w="150" w:type="dxa"/>
            </w:tcMar>
            <w:vAlign w:val="center"/>
          </w:tcPr>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color w:val="000000"/>
                <w:sz w:val="21"/>
                <w:szCs w:val="21"/>
              </w:rPr>
              <w:t>0.2%</w:t>
            </w:r>
            <w:r>
              <w:rPr>
                <w:rFonts w:hint="eastAsia" w:ascii="宋体" w:hAnsi="宋体" w:eastAsia="宋体" w:cs="宋体"/>
                <w:color w:val="333333"/>
                <w:sz w:val="21"/>
                <w:szCs w:val="21"/>
              </w:rPr>
              <w:t xml:space="preserve"> </w:t>
            </w:r>
          </w:p>
        </w:tc>
      </w:tr>
    </w:tbl>
    <w:p>
      <w:pPr>
        <w:pStyle w:val="2"/>
        <w:keepNext w:val="0"/>
        <w:keepLines w:val="0"/>
        <w:pageBreakBefore w:val="0"/>
        <w:widowControl/>
        <w:suppressLineNumbers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sz w:val="21"/>
          <w:szCs w:val="21"/>
        </w:rPr>
      </w:pPr>
      <w:r>
        <w:rPr>
          <w:rFonts w:hint="eastAsia" w:ascii="宋体" w:hAnsi="宋体" w:eastAsia="宋体" w:cs="宋体"/>
          <w:vanish/>
          <w:color w:val="000000"/>
          <w:sz w:val="21"/>
          <w:szCs w:val="21"/>
        </w:rPr>
        <w:t> </w:t>
      </w:r>
      <w:r>
        <w:rPr>
          <w:rFonts w:hint="eastAsia" w:ascii="宋体" w:hAnsi="宋体" w:eastAsia="宋体" w:cs="宋体"/>
          <w:color w:val="333333"/>
          <w:sz w:val="21"/>
          <w:szCs w:val="21"/>
        </w:rPr>
        <w:t xml:space="preserve"> </w:t>
      </w:r>
      <w:r>
        <w:rPr>
          <w:rFonts w:hint="eastAsia" w:ascii="宋体" w:hAnsi="宋体" w:eastAsia="宋体" w:cs="宋体"/>
          <w:color w:val="333333"/>
          <w:kern w:val="0"/>
          <w:sz w:val="21"/>
          <w:szCs w:val="21"/>
          <w:lang w:val="en-US" w:eastAsia="zh-CN" w:bidi="ar"/>
        </w:rPr>
        <w:t>2、乙方按政府采购相关规定负责组织项目招标采购活动的费用。若因甲方原因产生另外的费用，该费用由甲方承担。</w:t>
      </w:r>
      <w:r>
        <w:rPr>
          <w:rFonts w:hint="eastAsia" w:ascii="宋体" w:hAnsi="宋体" w:eastAsia="宋体" w:cs="宋体"/>
          <w:color w:val="333333"/>
          <w:kern w:val="0"/>
          <w:sz w:val="21"/>
          <w:szCs w:val="21"/>
          <w:lang w:val="en-US" w:eastAsia="zh-CN" w:bidi="ar"/>
        </w:rPr>
        <w:br w:type="textWrapping"/>
      </w:r>
      <w:r>
        <w:rPr>
          <w:rFonts w:hint="eastAsia" w:ascii="宋体" w:hAnsi="宋体" w:eastAsia="宋体" w:cs="宋体"/>
          <w:color w:val="333333"/>
          <w:kern w:val="0"/>
          <w:sz w:val="21"/>
          <w:szCs w:val="21"/>
          <w:lang w:val="en-US" w:eastAsia="zh-CN" w:bidi="ar"/>
        </w:rPr>
        <w:t xml:space="preserve">3、非集中采购机构采购项目，所产生费用由甲方承担。       </w:t>
      </w:r>
    </w:p>
    <w:p>
      <w:pPr>
        <w:pStyle w:val="2"/>
        <w:keepNext w:val="0"/>
        <w:keepLines w:val="0"/>
        <w:pageBreakBefore w:val="0"/>
        <w:widowControl/>
        <w:suppressLineNumbers w:val="0"/>
        <w:kinsoku/>
        <w:wordWrap/>
        <w:overflowPunct/>
        <w:topLinePunct w:val="0"/>
        <w:autoSpaceDE/>
        <w:autoSpaceDN/>
        <w:bidi w:val="0"/>
        <w:adjustRightInd w:val="0"/>
        <w:snapToGrid w:val="0"/>
        <w:spacing w:after="120" w:afterAutospacing="0" w:line="360" w:lineRule="auto"/>
        <w:jc w:val="both"/>
        <w:textAlignment w:val="auto"/>
        <w:rPr>
          <w:rFonts w:hint="eastAsia" w:ascii="宋体" w:hAnsi="宋体" w:eastAsia="宋体" w:cs="宋体"/>
          <w:color w:val="333333"/>
          <w:sz w:val="21"/>
          <w:szCs w:val="21"/>
          <w:lang w:val="en-US" w:eastAsia="zh-CN"/>
        </w:rPr>
      </w:pPr>
      <w:r>
        <w:rPr>
          <w:rFonts w:hint="eastAsia" w:ascii="宋体" w:hAnsi="宋体" w:eastAsia="宋体" w:cs="宋体"/>
          <w:color w:val="333333"/>
          <w:sz w:val="21"/>
          <w:szCs w:val="21"/>
        </w:rPr>
        <w:t>九、其他约定</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1、甲乙双方依法约定，本项目的采购方式采用公开招标；中标或成交供应商产生办法采用综合评分法。</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2、甲乙双方约定，乙方应按下列时间表完成委托事项：</w:t>
      </w:r>
      <w:r>
        <w:rPr>
          <w:rFonts w:hint="eastAsia" w:ascii="宋体" w:hAnsi="宋体" w:eastAsia="宋体" w:cs="宋体"/>
          <w:color w:val="333333"/>
          <w:sz w:val="21"/>
          <w:szCs w:val="21"/>
          <w:lang w:val="en-US" w:eastAsia="zh-CN"/>
        </w:rPr>
        <w:t>无</w:t>
      </w:r>
    </w:p>
    <w:p>
      <w:pPr>
        <w:pStyle w:val="2"/>
        <w:keepNext w:val="0"/>
        <w:keepLines w:val="0"/>
        <w:pageBreakBefore w:val="0"/>
        <w:widowControl/>
        <w:suppressLineNumbers w:val="0"/>
        <w:kinsoku/>
        <w:wordWrap/>
        <w:overflowPunct/>
        <w:topLinePunct w:val="0"/>
        <w:autoSpaceDE/>
        <w:autoSpaceDN/>
        <w:bidi w:val="0"/>
        <w:adjustRightInd w:val="0"/>
        <w:snapToGrid w:val="0"/>
        <w:spacing w:after="120" w:afterAutospacing="0" w:line="360" w:lineRule="auto"/>
        <w:jc w:val="both"/>
        <w:textAlignment w:val="auto"/>
        <w:rPr>
          <w:rFonts w:hint="eastAsia" w:ascii="宋体" w:hAnsi="宋体" w:eastAsia="宋体" w:cs="宋体"/>
          <w:sz w:val="21"/>
          <w:szCs w:val="21"/>
        </w:rPr>
      </w:pPr>
      <w:r>
        <w:rPr>
          <w:rFonts w:hint="eastAsia" w:ascii="宋体" w:hAnsi="宋体" w:eastAsia="宋体" w:cs="宋体"/>
          <w:color w:val="333333"/>
          <w:sz w:val="21"/>
          <w:szCs w:val="21"/>
        </w:rPr>
        <w:t>十、其他事项</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1、甲乙双方如因履行本协议发生争议，应通过友好协商解决。协商不成，双方同意按以下第（1）种方式解决：</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（1）将争议提交有管辖权的人民法院解决；</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（2）将争议提交仲裁委员会解决。</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2、本协议未尽事宜，甲乙双方可另行签订补充协议。</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3、本协议一式</w:t>
      </w:r>
      <w:r>
        <w:rPr>
          <w:rFonts w:hint="eastAsia" w:ascii="宋体" w:hAnsi="宋体" w:eastAsia="宋体" w:cs="宋体"/>
          <w:color w:val="333333"/>
          <w:sz w:val="21"/>
          <w:szCs w:val="21"/>
          <w:lang w:val="en-US" w:eastAsia="zh-CN"/>
        </w:rPr>
        <w:t>三</w:t>
      </w:r>
      <w:r>
        <w:rPr>
          <w:rFonts w:hint="eastAsia" w:ascii="宋体" w:hAnsi="宋体" w:eastAsia="宋体" w:cs="宋体"/>
          <w:color w:val="333333"/>
          <w:sz w:val="21"/>
          <w:szCs w:val="21"/>
        </w:rPr>
        <w:t>份，甲</w:t>
      </w:r>
      <w:r>
        <w:rPr>
          <w:rFonts w:hint="eastAsia" w:ascii="宋体" w:hAnsi="宋体" w:eastAsia="宋体" w:cs="宋体"/>
          <w:color w:val="333333"/>
          <w:sz w:val="21"/>
          <w:szCs w:val="21"/>
          <w:lang w:val="en-US" w:eastAsia="zh-CN"/>
        </w:rPr>
        <w:t>方执两份，</w:t>
      </w:r>
      <w:r>
        <w:rPr>
          <w:rFonts w:hint="eastAsia" w:ascii="宋体" w:hAnsi="宋体" w:eastAsia="宋体" w:cs="宋体"/>
          <w:color w:val="333333"/>
          <w:sz w:val="21"/>
          <w:szCs w:val="21"/>
        </w:rPr>
        <w:t>乙方执一份。</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4、本协议于甲乙双方签字盖章之日起生效。</w:t>
      </w:r>
    </w:p>
    <w:tbl>
      <w:tblPr>
        <w:tblStyle w:val="12"/>
        <w:tblW w:w="9464" w:type="dxa"/>
        <w:tblInd w:w="0" w:type="dxa"/>
        <w:tblLayout w:type="fixed"/>
        <w:tblCellMar>
          <w:top w:w="0" w:type="dxa"/>
          <w:left w:w="108" w:type="dxa"/>
          <w:bottom w:w="0" w:type="dxa"/>
          <w:right w:w="108" w:type="dxa"/>
        </w:tblCellMar>
      </w:tblPr>
      <w:tblGrid>
        <w:gridCol w:w="4643"/>
        <w:gridCol w:w="4821"/>
      </w:tblGrid>
      <w:tr>
        <w:tblPrEx>
          <w:tblLayout w:type="fixed"/>
          <w:tblCellMar>
            <w:top w:w="0" w:type="dxa"/>
            <w:left w:w="108" w:type="dxa"/>
            <w:bottom w:w="0" w:type="dxa"/>
            <w:right w:w="108" w:type="dxa"/>
          </w:tblCellMar>
        </w:tblPrEx>
        <w:tc>
          <w:tcPr>
            <w:tcW w:w="4643" w:type="dxa"/>
            <w:noWrap w:val="0"/>
            <w:vAlign w:val="top"/>
          </w:tcPr>
          <w:p>
            <w:pPr>
              <w:spacing w:line="360" w:lineRule="auto"/>
              <w:rPr>
                <w:rFonts w:hint="eastAsia" w:ascii="宋体" w:hAnsi="宋体" w:eastAsia="宋体" w:cs="宋体"/>
                <w:sz w:val="21"/>
                <w:szCs w:val="21"/>
              </w:rPr>
            </w:pPr>
          </w:p>
          <w:p>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甲方：（盖章）</w:t>
            </w:r>
            <w:r>
              <w:rPr>
                <w:rFonts w:hint="eastAsia" w:ascii="宋体" w:hAnsi="宋体" w:eastAsia="宋体" w:cs="宋体"/>
                <w:sz w:val="21"/>
                <w:szCs w:val="21"/>
                <w:lang w:eastAsia="zh-CN"/>
              </w:rPr>
              <w:t>厦门大学附属第一医院</w:t>
            </w:r>
          </w:p>
          <w:p>
            <w:pPr>
              <w:spacing w:line="360" w:lineRule="auto"/>
              <w:rPr>
                <w:rFonts w:hint="eastAsia" w:ascii="宋体" w:hAnsi="宋体" w:eastAsia="宋体" w:cs="宋体"/>
                <w:sz w:val="21"/>
                <w:szCs w:val="21"/>
              </w:rPr>
            </w:pPr>
            <w:r>
              <w:rPr>
                <w:rFonts w:hint="eastAsia" w:ascii="宋体" w:hAnsi="宋体" w:eastAsia="宋体" w:cs="宋体"/>
                <w:sz w:val="21"/>
                <w:szCs w:val="21"/>
              </w:rPr>
              <w:t>地址：</w:t>
            </w:r>
            <w:r>
              <w:rPr>
                <w:rFonts w:hint="eastAsia" w:ascii="宋体" w:hAnsi="宋体" w:eastAsia="宋体" w:cs="宋体"/>
                <w:color w:val="000000"/>
                <w:sz w:val="21"/>
                <w:szCs w:val="21"/>
              </w:rPr>
              <w:t>厦门市思明区镇海路55号</w:t>
            </w:r>
          </w:p>
          <w:p>
            <w:pPr>
              <w:spacing w:line="360" w:lineRule="auto"/>
              <w:rPr>
                <w:rFonts w:hint="eastAsia" w:ascii="宋体" w:hAnsi="宋体" w:eastAsia="宋体" w:cs="宋体"/>
                <w:sz w:val="21"/>
                <w:szCs w:val="21"/>
              </w:rPr>
            </w:pPr>
            <w:r>
              <w:rPr>
                <w:rFonts w:hint="eastAsia" w:ascii="宋体" w:hAnsi="宋体" w:eastAsia="宋体" w:cs="宋体"/>
                <w:sz w:val="21"/>
                <w:szCs w:val="21"/>
              </w:rPr>
              <w:t>法定代表人（或授权代表）：</w:t>
            </w:r>
          </w:p>
          <w:p>
            <w:pPr>
              <w:spacing w:line="360" w:lineRule="auto"/>
              <w:rPr>
                <w:rFonts w:hint="eastAsia" w:ascii="宋体" w:hAnsi="宋体" w:eastAsia="宋体" w:cs="宋体"/>
                <w:sz w:val="21"/>
                <w:szCs w:val="21"/>
              </w:rPr>
            </w:pPr>
            <w:r>
              <w:rPr>
                <w:rFonts w:hint="eastAsia" w:ascii="宋体" w:hAnsi="宋体" w:eastAsia="宋体" w:cs="宋体"/>
                <w:sz w:val="21"/>
                <w:szCs w:val="21"/>
              </w:rPr>
              <w:t>签约时间：　 年　  月　 日</w:t>
            </w:r>
          </w:p>
        </w:tc>
        <w:tc>
          <w:tcPr>
            <w:tcW w:w="4821" w:type="dxa"/>
            <w:noWrap w:val="0"/>
            <w:vAlign w:val="top"/>
          </w:tcPr>
          <w:p>
            <w:pPr>
              <w:spacing w:line="360" w:lineRule="auto"/>
              <w:rPr>
                <w:rFonts w:hint="eastAsia" w:ascii="宋体" w:hAnsi="宋体" w:eastAsia="宋体" w:cs="宋体"/>
                <w:sz w:val="21"/>
                <w:szCs w:val="21"/>
              </w:rPr>
            </w:pPr>
          </w:p>
          <w:p>
            <w:pPr>
              <w:spacing w:line="360" w:lineRule="auto"/>
              <w:rPr>
                <w:rFonts w:hint="eastAsia" w:ascii="宋体" w:hAnsi="宋体" w:eastAsia="宋体" w:cs="宋体"/>
                <w:sz w:val="21"/>
                <w:szCs w:val="21"/>
              </w:rPr>
            </w:pPr>
            <w:r>
              <w:rPr>
                <w:rFonts w:hint="eastAsia" w:ascii="宋体" w:hAnsi="宋体" w:eastAsia="宋体" w:cs="宋体"/>
                <w:sz w:val="21"/>
                <w:szCs w:val="21"/>
              </w:rPr>
              <w:t>乙方（盖章）：福建经发招标代理有限公司</w:t>
            </w:r>
          </w:p>
          <w:p>
            <w:pPr>
              <w:spacing w:line="360" w:lineRule="auto"/>
              <w:ind w:right="-286" w:rightChars="-136"/>
              <w:rPr>
                <w:rFonts w:hint="eastAsia" w:ascii="宋体" w:hAnsi="宋体" w:eastAsia="宋体" w:cs="宋体"/>
                <w:color w:val="000000"/>
                <w:sz w:val="21"/>
                <w:szCs w:val="21"/>
              </w:rPr>
            </w:pPr>
            <w:r>
              <w:rPr>
                <w:rFonts w:hint="eastAsia" w:ascii="宋体" w:hAnsi="宋体" w:eastAsia="宋体" w:cs="宋体"/>
                <w:sz w:val="21"/>
                <w:szCs w:val="21"/>
              </w:rPr>
              <w:t>地址：</w:t>
            </w:r>
            <w:r>
              <w:rPr>
                <w:rFonts w:hint="eastAsia" w:ascii="宋体" w:hAnsi="宋体" w:eastAsia="宋体" w:cs="宋体"/>
                <w:color w:val="000000"/>
                <w:sz w:val="21"/>
                <w:szCs w:val="21"/>
              </w:rPr>
              <w:t>厦门市思明区观音山宜兰路9号康利</w:t>
            </w:r>
          </w:p>
          <w:p>
            <w:pPr>
              <w:spacing w:line="360" w:lineRule="auto"/>
              <w:ind w:right="-286" w:rightChars="-136"/>
              <w:rPr>
                <w:rFonts w:hint="eastAsia" w:ascii="宋体" w:hAnsi="宋体" w:eastAsia="宋体" w:cs="宋体"/>
                <w:sz w:val="21"/>
                <w:szCs w:val="21"/>
              </w:rPr>
            </w:pPr>
            <w:r>
              <w:rPr>
                <w:rFonts w:hint="eastAsia" w:ascii="宋体" w:hAnsi="宋体" w:eastAsia="宋体" w:cs="宋体"/>
                <w:color w:val="000000"/>
                <w:sz w:val="21"/>
                <w:szCs w:val="21"/>
              </w:rPr>
              <w:t>金融大厦505室</w:t>
            </w:r>
          </w:p>
          <w:p>
            <w:pPr>
              <w:spacing w:line="360" w:lineRule="auto"/>
              <w:ind w:firstLine="210" w:firstLineChars="100"/>
              <w:rPr>
                <w:rFonts w:hint="eastAsia" w:ascii="宋体" w:hAnsi="宋体" w:eastAsia="宋体" w:cs="宋体"/>
                <w:sz w:val="21"/>
                <w:szCs w:val="21"/>
              </w:rPr>
            </w:pPr>
            <w:r>
              <w:rPr>
                <w:rFonts w:hint="eastAsia" w:ascii="宋体" w:hAnsi="宋体" w:eastAsia="宋体" w:cs="宋体"/>
                <w:sz w:val="21"/>
                <w:szCs w:val="21"/>
              </w:rPr>
              <w:t>法定代表人（或授权代表）：</w:t>
            </w:r>
          </w:p>
          <w:p>
            <w:pPr>
              <w:spacing w:line="360" w:lineRule="auto"/>
              <w:ind w:firstLine="210" w:firstLineChars="100"/>
              <w:rPr>
                <w:rFonts w:hint="eastAsia" w:ascii="宋体" w:hAnsi="宋体" w:eastAsia="宋体" w:cs="宋体"/>
                <w:sz w:val="21"/>
                <w:szCs w:val="21"/>
              </w:rPr>
            </w:pPr>
            <w:r>
              <w:rPr>
                <w:rFonts w:hint="eastAsia" w:ascii="宋体" w:hAnsi="宋体" w:eastAsia="宋体" w:cs="宋体"/>
                <w:sz w:val="21"/>
                <w:szCs w:val="21"/>
              </w:rPr>
              <w:t>签约时间：　　  年　 月　  日</w:t>
            </w:r>
          </w:p>
        </w:tc>
      </w:tr>
    </w:tbl>
    <w:p>
      <w:pPr>
        <w:rPr>
          <w:rFonts w:hint="eastAsia" w:ascii="宋体" w:hAnsi="宋体" w:eastAsia="宋体" w:cs="宋体"/>
          <w:sz w:val="21"/>
          <w:szCs w:val="21"/>
        </w:rPr>
      </w:pPr>
    </w:p>
    <w:sectPr>
      <w:pgSz w:w="11906" w:h="16838"/>
      <w:pgMar w:top="816" w:right="1080" w:bottom="110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auto"/>
    <w:pitch w:val="default"/>
    <w:sig w:usb0="E00006FF" w:usb1="0000FCFF" w:usb2="00000001" w:usb3="00000000" w:csb0="6000019F" w:csb1="DFD70000"/>
  </w:font>
  <w:font w:name="FontAwesome">
    <w:altName w:val="Segoe Print"/>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CE17C9"/>
    <w:rsid w:val="02C52E42"/>
    <w:rsid w:val="07E90E1E"/>
    <w:rsid w:val="18CE17C9"/>
    <w:rsid w:val="1B435DB5"/>
    <w:rsid w:val="2BA063A1"/>
    <w:rsid w:val="341E4FC6"/>
    <w:rsid w:val="78C64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0" w:after="150" w:afterAutospacing="0"/>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7AB7"/>
      <w:u w:val="none"/>
    </w:rPr>
  </w:style>
  <w:style w:type="character" w:styleId="6">
    <w:name w:val="Emphasis"/>
    <w:basedOn w:val="3"/>
    <w:qFormat/>
    <w:uiPriority w:val="0"/>
  </w:style>
  <w:style w:type="character" w:styleId="7">
    <w:name w:val="HTML Definition"/>
    <w:basedOn w:val="3"/>
    <w:qFormat/>
    <w:uiPriority w:val="0"/>
    <w:rPr>
      <w:i/>
    </w:rPr>
  </w:style>
  <w:style w:type="character" w:styleId="8">
    <w:name w:val="Hyperlink"/>
    <w:basedOn w:val="3"/>
    <w:qFormat/>
    <w:uiPriority w:val="0"/>
    <w:rPr>
      <w:color w:val="337AB7"/>
      <w:u w:val="none"/>
    </w:rPr>
  </w:style>
  <w:style w:type="character" w:styleId="9">
    <w:name w:val="HTML Code"/>
    <w:basedOn w:val="3"/>
    <w:qFormat/>
    <w:uiPriority w:val="0"/>
    <w:rPr>
      <w:rFonts w:hint="default" w:ascii="Consolas" w:hAnsi="Consolas" w:eastAsia="Consolas" w:cs="Consolas"/>
      <w:color w:val="C7254E"/>
      <w:sz w:val="21"/>
      <w:szCs w:val="21"/>
      <w:shd w:val="clear" w:fill="F9F2F4"/>
    </w:rPr>
  </w:style>
  <w:style w:type="character" w:styleId="10">
    <w:name w:val="HTML Keyboard"/>
    <w:basedOn w:val="3"/>
    <w:qFormat/>
    <w:uiPriority w:val="0"/>
    <w:rPr>
      <w:rFonts w:hint="default" w:ascii="Consolas" w:hAnsi="Consolas" w:eastAsia="Consolas" w:cs="Consolas"/>
      <w:color w:val="FFFFFF"/>
      <w:sz w:val="21"/>
      <w:szCs w:val="21"/>
      <w:shd w:val="clear" w:fill="333333"/>
    </w:rPr>
  </w:style>
  <w:style w:type="character" w:styleId="11">
    <w:name w:val="HTML Sample"/>
    <w:basedOn w:val="3"/>
    <w:qFormat/>
    <w:uiPriority w:val="0"/>
    <w:rPr>
      <w:rFonts w:ascii="Consolas" w:hAnsi="Consolas" w:eastAsia="Consolas" w:cs="Consolas"/>
      <w:sz w:val="21"/>
      <w:szCs w:val="21"/>
    </w:rPr>
  </w:style>
  <w:style w:type="character" w:customStyle="1" w:styleId="13">
    <w:name w:val="input-icon2"/>
    <w:basedOn w:val="3"/>
    <w:qFormat/>
    <w:uiPriority w:val="0"/>
  </w:style>
  <w:style w:type="character" w:customStyle="1" w:styleId="14">
    <w:name w:val="before"/>
    <w:basedOn w:val="3"/>
    <w:qFormat/>
    <w:uiPriority w:val="0"/>
    <w:rPr>
      <w:rFonts w:hint="default" w:ascii="FontAwesome" w:hAnsi="FontAwesome" w:eastAsia="FontAwesome" w:cs="FontAwesome"/>
      <w:color w:val="888888"/>
      <w:sz w:val="18"/>
      <w:szCs w:val="18"/>
    </w:rPr>
  </w:style>
  <w:style w:type="character" w:customStyle="1" w:styleId="15">
    <w:name w:val="before1"/>
    <w:basedOn w:val="3"/>
    <w:qFormat/>
    <w:uiPriority w:val="0"/>
    <w:rPr>
      <w:rFonts w:hint="default" w:ascii="FontAwesome" w:hAnsi="FontAwesome" w:eastAsia="FontAwesome" w:cs="FontAwesome"/>
      <w:color w:val="888888"/>
      <w:sz w:val="18"/>
      <w:szCs w:val="18"/>
    </w:rPr>
  </w:style>
  <w:style w:type="character" w:customStyle="1" w:styleId="16">
    <w:name w:val="ui-icon24"/>
    <w:basedOn w:val="3"/>
    <w:qFormat/>
    <w:uiPriority w:val="0"/>
  </w:style>
  <w:style w:type="character" w:customStyle="1" w:styleId="17">
    <w:name w:val="ui-jqgrid-resize"/>
    <w:basedOn w:val="3"/>
    <w:qFormat/>
    <w:uiPriority w:val="0"/>
  </w:style>
  <w:style w:type="character" w:customStyle="1" w:styleId="18">
    <w:name w:val="ui-jqgrid-resize1"/>
    <w:basedOn w:val="3"/>
    <w:qFormat/>
    <w:uiPriority w:val="0"/>
  </w:style>
  <w:style w:type="character" w:customStyle="1" w:styleId="19">
    <w:name w:val="active3"/>
    <w:basedOn w:val="3"/>
    <w:qFormat/>
    <w:uiPriority w:val="0"/>
    <w:rPr>
      <w:shd w:val="clear" w:fill="EC3535"/>
    </w:rPr>
  </w:style>
  <w:style w:type="character" w:customStyle="1" w:styleId="20">
    <w:name w:val="label10"/>
    <w:basedOn w:val="3"/>
    <w:qFormat/>
    <w:uiPriority w:val="0"/>
    <w:rPr>
      <w:color w:val="1AB394"/>
      <w:shd w:val="clear" w:fill="FFFFFF"/>
    </w:rPr>
  </w:style>
  <w:style w:type="character" w:customStyle="1" w:styleId="21">
    <w:name w:val="label11"/>
    <w:basedOn w:val="3"/>
    <w:qFormat/>
    <w:uiPriority w:val="0"/>
    <w:rPr>
      <w:color w:val="1CC09F"/>
      <w:shd w:val="clear" w:fill="FFFFFF"/>
    </w:rPr>
  </w:style>
  <w:style w:type="character" w:customStyle="1" w:styleId="22">
    <w:name w:val="label12"/>
    <w:basedOn w:val="3"/>
    <w:qFormat/>
    <w:uiPriority w:val="0"/>
  </w:style>
  <w:style w:type="character" w:customStyle="1" w:styleId="23">
    <w:name w:val="label13"/>
    <w:basedOn w:val="3"/>
    <w:qFormat/>
    <w:uiPriority w:val="0"/>
  </w:style>
  <w:style w:type="character" w:customStyle="1" w:styleId="24">
    <w:name w:val="navy"/>
    <w:basedOn w:val="3"/>
    <w:qFormat/>
    <w:uiPriority w:val="0"/>
    <w:rPr>
      <w:color w:val="1AB39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2019-09-24T12:57:00Z</dcterms:created>
  <dc:creator>小王</dc:creator>
  <cp:lastModifiedBy>Thinkbook</cp:lastModifiedBy>
  <dcterms:modified xsi:type="dcterms:W3CDTF">2020-09-23T08:07:13Z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