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u w:val="none"/>
          <w:lang w:val="en-US" w:eastAsia="zh-CN"/>
        </w:rPr>
        <w:t>厦门大学附属第一医院</w:t>
      </w:r>
      <w:r>
        <w:rPr>
          <w:rFonts w:hint="eastAsia" w:ascii="方正小标宋_GBK" w:hAnsi="方正小标宋_GBK" w:eastAsia="方正小标宋_GBK" w:cs="方正小标宋_GBK"/>
          <w:sz w:val="36"/>
          <w:szCs w:val="36"/>
          <w:lang w:val="en-US" w:eastAsia="zh-CN"/>
        </w:rPr>
        <w:t>2021</w:t>
      </w:r>
      <w:r>
        <w:rPr>
          <w:rFonts w:hint="eastAsia" w:ascii="方正小标宋_GBK" w:hAnsi="方正小标宋_GBK" w:eastAsia="方正小标宋_GBK" w:cs="方正小标宋_GBK"/>
          <w:sz w:val="36"/>
          <w:szCs w:val="36"/>
        </w:rPr>
        <w:t>年</w:t>
      </w:r>
      <w:r>
        <w:rPr>
          <w:rFonts w:hint="eastAsia" w:ascii="方正小标宋_GBK" w:hAnsi="方正小标宋_GBK" w:eastAsia="方正小标宋_GBK" w:cs="方正小标宋_GBK"/>
          <w:sz w:val="36"/>
          <w:szCs w:val="36"/>
          <w:lang w:val="en-US" w:eastAsia="zh-CN"/>
        </w:rPr>
        <w:t>1</w:t>
      </w:r>
      <w:r>
        <w:rPr>
          <w:rFonts w:hint="eastAsia" w:ascii="方正小标宋_GBK" w:hAnsi="方正小标宋_GBK" w:eastAsia="方正小标宋_GBK" w:cs="方正小标宋_GBK"/>
          <w:sz w:val="36"/>
          <w:szCs w:val="36"/>
        </w:rPr>
        <w:t>月</w:t>
      </w:r>
    </w:p>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政府采购</w:t>
      </w:r>
      <w:bookmarkStart w:id="0" w:name="_GoBack"/>
      <w:bookmarkEnd w:id="0"/>
      <w:r>
        <w:rPr>
          <w:rFonts w:hint="eastAsia" w:ascii="方正小标宋_GBK" w:hAnsi="方正小标宋_GBK" w:eastAsia="方正小标宋_GBK" w:cs="方正小标宋_GBK"/>
          <w:sz w:val="44"/>
          <w:szCs w:val="44"/>
        </w:rPr>
        <w:t>意向</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为便于供应商及时了解政府采购信息，</w:t>
      </w:r>
      <w:r>
        <w:rPr>
          <w:rFonts w:hint="eastAsia" w:ascii="仿宋_GB2312" w:hAnsi="仿宋_GB2312" w:eastAsia="仿宋_GB2312" w:cs="仿宋_GB2312"/>
          <w:sz w:val="32"/>
          <w:szCs w:val="32"/>
        </w:rPr>
        <w:t>根据《财政部关于开展政府采购意向公开工作的通知》</w:t>
      </w:r>
      <w:r>
        <w:rPr>
          <w:rFonts w:hint="eastAsia" w:ascii="仿宋_GB2312" w:hAnsi="仿宋_GB2312" w:eastAsia="仿宋_GB2312" w:cs="仿宋_GB2312"/>
          <w:sz w:val="32"/>
          <w:szCs w:val="32"/>
          <w:lang w:eastAsia="zh-CN"/>
        </w:rPr>
        <w:t>（财库〔</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single"/>
          <w:lang w:val="en-US" w:eastAsia="zh-CN"/>
        </w:rPr>
        <w:t>厦门大学附属第一医院2021年1月</w:t>
      </w:r>
      <w:r>
        <w:rPr>
          <w:rFonts w:hint="eastAsia" w:ascii="仿宋_GB2312" w:hAnsi="仿宋_GB2312" w:eastAsia="仿宋_GB2312" w:cs="仿宋_GB2312"/>
          <w:sz w:val="32"/>
          <w:szCs w:val="32"/>
        </w:rPr>
        <w:t>采购意向公开如下：</w:t>
      </w:r>
    </w:p>
    <w:tbl>
      <w:tblPr>
        <w:tblStyle w:val="6"/>
        <w:tblpPr w:leftFromText="180" w:rightFromText="180" w:vertAnchor="text" w:horzAnchor="page" w:tblpX="1474" w:tblpY="815"/>
        <w:tblOverlap w:val="never"/>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95"/>
        <w:gridCol w:w="2694"/>
        <w:gridCol w:w="1559"/>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00"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序号</w:t>
            </w:r>
          </w:p>
        </w:tc>
        <w:tc>
          <w:tcPr>
            <w:tcW w:w="1595"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采购项目</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名称</w:t>
            </w:r>
          </w:p>
        </w:tc>
        <w:tc>
          <w:tcPr>
            <w:tcW w:w="2694"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采购需求概况</w:t>
            </w:r>
          </w:p>
        </w:tc>
        <w:tc>
          <w:tcPr>
            <w:tcW w:w="1559"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预算金额</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（万元）</w:t>
            </w:r>
          </w:p>
        </w:tc>
        <w:tc>
          <w:tcPr>
            <w:tcW w:w="1701"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预计采购时间</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（填写到月）</w:t>
            </w:r>
          </w:p>
        </w:tc>
        <w:tc>
          <w:tcPr>
            <w:tcW w:w="992"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tabs>
                <w:tab w:val="left" w:pos="993"/>
                <w:tab w:val="left" w:pos="1134"/>
                <w:tab w:val="left" w:pos="1418"/>
              </w:tabs>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95" w:type="dxa"/>
            <w:vAlign w:val="center"/>
          </w:tcPr>
          <w:p>
            <w:pPr>
              <w:tabs>
                <w:tab w:val="left" w:pos="993"/>
                <w:tab w:val="left" w:pos="1134"/>
                <w:tab w:val="left" w:pos="1418"/>
              </w:tabs>
              <w:spacing w:line="400" w:lineRule="exact"/>
              <w:rPr>
                <w:rFonts w:hint="eastAsia" w:ascii="仿宋" w:hAnsi="仿宋" w:eastAsia="仿宋" w:cs="仿宋"/>
                <w:sz w:val="24"/>
                <w:szCs w:val="24"/>
                <w:lang w:eastAsia="zh-CN"/>
              </w:rPr>
            </w:pPr>
            <w:r>
              <w:rPr>
                <w:rFonts w:hint="eastAsia" w:ascii="仿宋" w:hAnsi="仿宋" w:eastAsia="仿宋" w:cs="仿宋"/>
                <w:b w:val="0"/>
                <w:bCs/>
                <w:color w:val="000000"/>
                <w:sz w:val="24"/>
                <w:szCs w:val="24"/>
                <w:lang w:bidi="ar"/>
              </w:rPr>
              <w:t>2021年度节日慰问品采购供货资格</w:t>
            </w:r>
          </w:p>
        </w:tc>
        <w:tc>
          <w:tcPr>
            <w:tcW w:w="2694" w:type="dxa"/>
            <w:vAlign w:val="center"/>
          </w:tcPr>
          <w:p>
            <w:pPr>
              <w:tabs>
                <w:tab w:val="left" w:pos="993"/>
                <w:tab w:val="left" w:pos="1134"/>
                <w:tab w:val="left" w:pos="1418"/>
              </w:tabs>
              <w:spacing w:line="400" w:lineRule="exact"/>
              <w:rPr>
                <w:rFonts w:hint="eastAsia" w:ascii="仿宋" w:hAnsi="仿宋" w:cs="仿宋" w:eastAsiaTheme="minorEastAsia"/>
                <w:b w:val="0"/>
                <w:bCs w:val="0"/>
                <w:sz w:val="24"/>
                <w:szCs w:val="24"/>
                <w:lang w:val="en-US" w:eastAsia="zh-CN"/>
              </w:rPr>
            </w:pPr>
            <w:r>
              <w:rPr>
                <w:rFonts w:hint="eastAsia" w:ascii="宋体" w:hAnsi="宋体"/>
                <w:b w:val="0"/>
                <w:bCs w:val="0"/>
                <w:color w:val="000000"/>
                <w:sz w:val="21"/>
                <w:szCs w:val="21"/>
              </w:rPr>
              <w:t>慰问品采购范围及内容是根据《福建省基层工会经费收支管理实施办法》，主要指月饼、粽子、米、面、油、肉、蛋、奶、水果、干果及日常生活用品等。严禁提供购物卡、代金券</w:t>
            </w:r>
            <w:r>
              <w:rPr>
                <w:rFonts w:hint="eastAsia" w:ascii="宋体" w:hAnsi="宋体"/>
                <w:b w:val="0"/>
                <w:bCs w:val="0"/>
                <w:color w:val="000000"/>
                <w:sz w:val="21"/>
                <w:szCs w:val="21"/>
                <w:lang w:eastAsia="zh-CN"/>
              </w:rPr>
              <w:t>。</w:t>
            </w:r>
            <w:r>
              <w:rPr>
                <w:rFonts w:hint="eastAsia" w:hAnsi="宋体"/>
                <w:b w:val="0"/>
                <w:bCs w:val="0"/>
                <w:szCs w:val="21"/>
              </w:rPr>
              <w:t>确认综合得分前三名的供应商为本项目协议供货资格的中标人</w:t>
            </w:r>
            <w:r>
              <w:rPr>
                <w:rFonts w:hint="eastAsia" w:hAnsi="宋体"/>
                <w:b w:val="0"/>
                <w:bCs w:val="0"/>
                <w:szCs w:val="21"/>
                <w:lang w:eastAsia="zh-CN"/>
              </w:rPr>
              <w:t>，但</w:t>
            </w:r>
            <w:r>
              <w:rPr>
                <w:rFonts w:hint="eastAsia" w:hAnsi="宋体"/>
                <w:b w:val="0"/>
                <w:bCs w:val="0"/>
                <w:szCs w:val="21"/>
              </w:rPr>
              <w:t>不保证供应商获得中标资格即获得供货资格，相关风险应予以充分考虑。</w:t>
            </w:r>
            <w:r>
              <w:rPr>
                <w:rFonts w:hint="eastAsia" w:hAnsi="宋体"/>
                <w:b w:val="0"/>
                <w:bCs w:val="0"/>
                <w:szCs w:val="21"/>
                <w:lang w:eastAsia="zh-CN"/>
              </w:rPr>
              <w:t>每次节日实际供货商一般会由职工根据各中标人提供的物品套餐清单自主选择。</w:t>
            </w:r>
          </w:p>
        </w:tc>
        <w:tc>
          <w:tcPr>
            <w:tcW w:w="1559" w:type="dxa"/>
            <w:vAlign w:val="center"/>
          </w:tcPr>
          <w:p>
            <w:pPr>
              <w:tabs>
                <w:tab w:val="left" w:pos="993"/>
                <w:tab w:val="left" w:pos="1134"/>
                <w:tab w:val="left" w:pos="1418"/>
              </w:tabs>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1125万元</w:t>
            </w:r>
          </w:p>
        </w:tc>
        <w:tc>
          <w:tcPr>
            <w:tcW w:w="1701" w:type="dxa"/>
            <w:vAlign w:val="center"/>
          </w:tcPr>
          <w:p>
            <w:pPr>
              <w:tabs>
                <w:tab w:val="left" w:pos="993"/>
                <w:tab w:val="left" w:pos="1134"/>
                <w:tab w:val="left" w:pos="1418"/>
              </w:tabs>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2021年1月</w:t>
            </w:r>
          </w:p>
        </w:tc>
        <w:tc>
          <w:tcPr>
            <w:tcW w:w="992" w:type="dxa"/>
            <w:vAlign w:val="center"/>
          </w:tcPr>
          <w:p>
            <w:pPr>
              <w:tabs>
                <w:tab w:val="left" w:pos="993"/>
                <w:tab w:val="left" w:pos="1134"/>
                <w:tab w:val="left" w:pos="1418"/>
              </w:tabs>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600" w:type="dxa"/>
          </w:tcPr>
          <w:p>
            <w:pPr>
              <w:tabs>
                <w:tab w:val="left" w:pos="993"/>
                <w:tab w:val="left" w:pos="1134"/>
                <w:tab w:val="left" w:pos="1418"/>
              </w:tabs>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595" w:type="dxa"/>
          </w:tcPr>
          <w:p>
            <w:pPr>
              <w:tabs>
                <w:tab w:val="left" w:pos="993"/>
                <w:tab w:val="left" w:pos="1134"/>
                <w:tab w:val="left" w:pos="1418"/>
              </w:tabs>
              <w:spacing w:line="400" w:lineRule="exact"/>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rPr>
              <w:t>2021年职工生日蛋糕券采购</w:t>
            </w:r>
          </w:p>
        </w:tc>
        <w:tc>
          <w:tcPr>
            <w:tcW w:w="2694" w:type="dxa"/>
          </w:tcPr>
          <w:p>
            <w:pPr>
              <w:tabs>
                <w:tab w:val="left" w:pos="993"/>
                <w:tab w:val="left" w:pos="1134"/>
                <w:tab w:val="left" w:pos="1418"/>
              </w:tabs>
              <w:spacing w:line="400" w:lineRule="exact"/>
              <w:rPr>
                <w:rFonts w:hint="eastAsia" w:ascii="仿宋" w:hAnsi="仿宋" w:eastAsia="仿宋" w:cs="仿宋"/>
                <w:b w:val="0"/>
                <w:bCs w:val="0"/>
                <w:sz w:val="24"/>
                <w:szCs w:val="24"/>
              </w:rPr>
            </w:pPr>
            <w:r>
              <w:rPr>
                <w:rFonts w:hint="eastAsia" w:ascii="宋体" w:hAnsi="宋体" w:eastAsia="宋体" w:cs="Times New Roman"/>
                <w:b w:val="0"/>
                <w:bCs w:val="0"/>
                <w:kern w:val="2"/>
                <w:sz w:val="21"/>
                <w:szCs w:val="21"/>
              </w:rPr>
              <w:t>蛋糕</w:t>
            </w:r>
            <w:r>
              <w:rPr>
                <w:rFonts w:hint="eastAsia" w:ascii="宋体" w:hAnsi="宋体" w:eastAsia="宋体"/>
                <w:b w:val="0"/>
                <w:bCs w:val="0"/>
                <w:sz w:val="21"/>
                <w:szCs w:val="21"/>
              </w:rPr>
              <w:t>券的兑换对象除了生日蛋糕外，还应包括兑换门店的自制品。蛋糕券的使用方式除了由持券人到线下门店兑换外，中标人还应根据持券人要求提供免费上门配送服务，具体配送范围包含：厦门岛内全范围、岛外各个行政区的区政府周边3公里范围内。</w:t>
            </w:r>
          </w:p>
        </w:tc>
        <w:tc>
          <w:tcPr>
            <w:tcW w:w="1559" w:type="dxa"/>
          </w:tcPr>
          <w:p>
            <w:pPr>
              <w:tabs>
                <w:tab w:val="left" w:pos="993"/>
                <w:tab w:val="left" w:pos="1134"/>
                <w:tab w:val="left" w:pos="1418"/>
              </w:tabs>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135万元</w:t>
            </w:r>
          </w:p>
        </w:tc>
        <w:tc>
          <w:tcPr>
            <w:tcW w:w="1701" w:type="dxa"/>
          </w:tcPr>
          <w:p>
            <w:pPr>
              <w:tabs>
                <w:tab w:val="left" w:pos="993"/>
                <w:tab w:val="left" w:pos="1134"/>
                <w:tab w:val="left" w:pos="1418"/>
              </w:tabs>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2021年1月</w:t>
            </w:r>
          </w:p>
        </w:tc>
        <w:tc>
          <w:tcPr>
            <w:tcW w:w="992" w:type="dxa"/>
          </w:tcPr>
          <w:p>
            <w:pPr>
              <w:tabs>
                <w:tab w:val="left" w:pos="993"/>
                <w:tab w:val="left" w:pos="1134"/>
                <w:tab w:val="left" w:pos="1418"/>
              </w:tabs>
              <w:spacing w:line="400" w:lineRule="exact"/>
              <w:rPr>
                <w:rFonts w:hint="eastAsia" w:ascii="仿宋" w:hAnsi="仿宋" w:eastAsia="仿宋" w:cs="仿宋"/>
                <w:sz w:val="24"/>
                <w:szCs w:val="24"/>
              </w:rPr>
            </w:pPr>
          </w:p>
        </w:tc>
      </w:tr>
    </w:tbl>
    <w:p>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960" w:firstLine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厦门大学附属第一医院设备物资部</w:t>
      </w:r>
    </w:p>
    <w:p>
      <w:pPr>
        <w:tabs>
          <w:tab w:val="left" w:pos="993"/>
          <w:tab w:val="left" w:pos="1134"/>
          <w:tab w:val="left" w:pos="1418"/>
        </w:tabs>
        <w:spacing w:line="600" w:lineRule="exact"/>
        <w:ind w:right="480" w:firstLine="960" w:firstLineChars="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9311F"/>
    <w:rsid w:val="01AA6A35"/>
    <w:rsid w:val="03D477DD"/>
    <w:rsid w:val="099472BD"/>
    <w:rsid w:val="099E7A5D"/>
    <w:rsid w:val="09A70B95"/>
    <w:rsid w:val="0AF81C93"/>
    <w:rsid w:val="0C6B5737"/>
    <w:rsid w:val="0CAC61E8"/>
    <w:rsid w:val="0CDD1636"/>
    <w:rsid w:val="0DC16582"/>
    <w:rsid w:val="0EAF02B5"/>
    <w:rsid w:val="11B20AB8"/>
    <w:rsid w:val="14172BA3"/>
    <w:rsid w:val="152911FA"/>
    <w:rsid w:val="156A13F0"/>
    <w:rsid w:val="167A1048"/>
    <w:rsid w:val="1B0B0D0E"/>
    <w:rsid w:val="1B8C11B8"/>
    <w:rsid w:val="1C3A3B80"/>
    <w:rsid w:val="1CD610EF"/>
    <w:rsid w:val="1CD627D6"/>
    <w:rsid w:val="1DA33E35"/>
    <w:rsid w:val="202B1BC5"/>
    <w:rsid w:val="213D3155"/>
    <w:rsid w:val="21726C3B"/>
    <w:rsid w:val="230360D0"/>
    <w:rsid w:val="275A39F9"/>
    <w:rsid w:val="27F76CD2"/>
    <w:rsid w:val="2A291167"/>
    <w:rsid w:val="2CE80A3B"/>
    <w:rsid w:val="2D5F2A04"/>
    <w:rsid w:val="2DC75485"/>
    <w:rsid w:val="2E553CA4"/>
    <w:rsid w:val="303C58ED"/>
    <w:rsid w:val="30523320"/>
    <w:rsid w:val="327B07FD"/>
    <w:rsid w:val="33FA7161"/>
    <w:rsid w:val="367D3C56"/>
    <w:rsid w:val="3686410E"/>
    <w:rsid w:val="36CE4FB9"/>
    <w:rsid w:val="37A57158"/>
    <w:rsid w:val="4097764B"/>
    <w:rsid w:val="43973049"/>
    <w:rsid w:val="43AF2A9E"/>
    <w:rsid w:val="46692A7B"/>
    <w:rsid w:val="47093E8E"/>
    <w:rsid w:val="47141C73"/>
    <w:rsid w:val="481D46BF"/>
    <w:rsid w:val="4B4E4207"/>
    <w:rsid w:val="4BC857F9"/>
    <w:rsid w:val="4BF13F0E"/>
    <w:rsid w:val="4C9F0737"/>
    <w:rsid w:val="4D400F41"/>
    <w:rsid w:val="4D623A4B"/>
    <w:rsid w:val="4D925EB6"/>
    <w:rsid w:val="4E9F5965"/>
    <w:rsid w:val="4F7023C5"/>
    <w:rsid w:val="500D0930"/>
    <w:rsid w:val="51562DA8"/>
    <w:rsid w:val="54C33207"/>
    <w:rsid w:val="558341A6"/>
    <w:rsid w:val="571A2493"/>
    <w:rsid w:val="57467B86"/>
    <w:rsid w:val="57CA5359"/>
    <w:rsid w:val="583A19FE"/>
    <w:rsid w:val="5B4B1C53"/>
    <w:rsid w:val="62B52EE7"/>
    <w:rsid w:val="63EC544D"/>
    <w:rsid w:val="655163C3"/>
    <w:rsid w:val="65DE0ACE"/>
    <w:rsid w:val="66272700"/>
    <w:rsid w:val="691E0F02"/>
    <w:rsid w:val="6B5D65CE"/>
    <w:rsid w:val="6C137861"/>
    <w:rsid w:val="70FC7D4C"/>
    <w:rsid w:val="71741A04"/>
    <w:rsid w:val="73960622"/>
    <w:rsid w:val="75477AFA"/>
    <w:rsid w:val="766B5774"/>
    <w:rsid w:val="79B924B9"/>
    <w:rsid w:val="7AD51B06"/>
    <w:rsid w:val="7E49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semiHidden/>
    <w:uiPriority w:val="0"/>
    <w:pPr>
      <w:jc w:val="left"/>
    </w:pPr>
    <w:rPr>
      <w:sz w:val="21"/>
    </w:rPr>
  </w:style>
  <w:style w:type="paragraph" w:styleId="3">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Administrator</cp:lastModifiedBy>
  <cp:lastPrinted>2020-09-09T02:15:00Z</cp:lastPrinted>
  <dcterms:modified xsi:type="dcterms:W3CDTF">2020-12-08T00:59:44Z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