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勿修改递交信目录</w:t>
      </w:r>
    </w:p>
    <w:p>
      <w:pPr>
        <w:pStyle w:val="2"/>
        <w:numPr>
          <w:ilvl w:val="0"/>
          <w:numId w:val="1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请根据目录递交电子版材料，电子版审核通过后</w:t>
      </w:r>
      <w:r>
        <w:rPr>
          <w:rFonts w:hint="eastAsia"/>
          <w:color w:val="auto"/>
          <w:lang w:val="en-US" w:eastAsia="zh-CN"/>
        </w:rPr>
        <w:t>5个工作日内递交整套</w:t>
      </w:r>
      <w:r>
        <w:rPr>
          <w:rFonts w:hint="eastAsia"/>
          <w:color w:val="FF0000"/>
          <w:lang w:val="en-US" w:eastAsia="zh-CN"/>
        </w:rPr>
        <w:t>PI纸质签字、盖章版</w:t>
      </w:r>
      <w:r>
        <w:rPr>
          <w:rFonts w:hint="eastAsia"/>
          <w:color w:val="auto"/>
          <w:lang w:val="en-US" w:eastAsia="zh-CN"/>
        </w:rPr>
        <w:t>材料文件夹。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研究者发起的干预性、非注册类临床研究根据医院管理要求需递交专业技术委员会审查，具体审查安排在纸质版材料递交完成立项后机构会主动告知。</w:t>
      </w:r>
    </w:p>
    <w:p>
      <w:pPr>
        <w:pStyle w:val="2"/>
        <w:numPr>
          <w:ilvl w:val="0"/>
          <w:numId w:val="0"/>
        </w:numPr>
        <w:ind w:leftChars="0"/>
        <w:rPr>
          <w:rFonts w:hint="default"/>
          <w:color w:val="auto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FE6464"/>
    <w:multiLevelType w:val="singleLevel"/>
    <w:tmpl w:val="D3FE64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E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2021-02-26T03:03:27Z</dcterms:created>
  <dc:creator>Administrator</dc:creator>
  <cp:lastModifiedBy>福建亿同世纪软件科技股份有限公司</cp:lastModifiedBy>
  <dcterms:modified xsi:type="dcterms:W3CDTF">2021-02-26T03:04:17Z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